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9"/>
    <w:p>
      <w:pPr>
        <w:pStyle w:val="Heading1"/>
      </w:pPr>
      <w:r>
        <w:t xml:space="preserve">Homiletics Analysis: Psalms 139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139 is a sustained meditation addressed directly to God, moving through four distinct but unified movements. Verses 1–6 declare God’s exhaustive knowledge of the psalmist — his actions, thoughts, words, and path — knowledge so thorough it overwhelms the mind. Verses 7–12 declare God’s inescapable presence — there is no spatial coordinate, no depth of darkness, no extremity of geography where God is absent. Verses 13–16 ground both the omniscience and the omnipresence in the doctrine of creation: God formed the psalmist in the womb, his frame was not hidden from God even in the secret place of gestation, and his days were ordained before one of them came to be. Verses 17–18 pause in wonder at the vastness of God’s thoughts toward the psalmist, thoughts more numerous than the grains of sand. Verses 19–22 turn sharply to the psalmist’s posture toward the wicked — those who oppose God are his enemies too, and he distances himself from them with vehement language. Verses 23–24 close with a return to the opening posture: the psalmist invites God to search him, try him, know his anxious thoughts, and lead him in the everlasting way.</w:t>
      </w:r>
    </w:p>
    <w:p>
      <w:pPr>
        <w:pStyle w:val="BodyText"/>
      </w:pPr>
      <w:r>
        <w:rPr>
          <w:b/>
          <w:bCs/>
        </w:rPr>
        <w:t xml:space="preserve">This Text — Intent</w:t>
      </w:r>
    </w:p>
    <w:p>
      <w:pPr>
        <w:pStyle w:val="BodyText"/>
      </w:pPr>
      <w:r>
        <w:t xml:space="preserve">God is calling the reader to rest in — and be searched by — the God who already knows everything about them, is present everywhere around them, and fashioned them with purposeful intentionality. The text does not merely communicate divine attributes as doctrinal propositions; it seeks to produce a specific double effect: profound comfort (you are fully known and fully accompanied by the God who made you) and profound accountability (there is nowhere to hide, nothing concealed, and the appropriate response is to invite the search rather than flee it). The closing verses (23–24) make the intent explicit: the psalmist models the posture God is calling every reader to — not self-examination as a spiritual discipline, but the offering of oneself to divine examination as an act of trust and surrender.</w:t>
      </w:r>
    </w:p>
    <w:p>
      <w:r>
        <w:pict>
          <v:rect style="width:0;height:1.5pt" o:hralign="center" o:hrstd="t" o:hr="t"/>
        </w:pict>
      </w:r>
    </w:p>
    <w:p>
      <w:pPr>
        <w:pStyle w:val="FirstParagraph"/>
      </w:pPr>
      <w:r>
        <w:rPr>
          <w:b/>
          <w:bCs/>
        </w:rPr>
        <w:t xml:space="preserve">Subject Sentence:</w:t>
      </w:r>
      <w:r>
        <w:t xml:space="preserve"> </w:t>
      </w:r>
      <w:r>
        <w:t xml:space="preserve">The God who exhaustively knows, everywhere accompanies, and purposefully made His servant now calls him to be fully searched.</w:t>
      </w:r>
    </w:p>
    <w:p>
      <w:r>
        <w:pict>
          <v:rect style="width:0;height:1.5pt" o:hralign="center" o:hrstd="t" o:hr="t"/>
        </w:pict>
      </w:r>
    </w:p>
    <w:p>
      <w:pPr>
        <w:pStyle w:val="FirstParagraph"/>
      </w:pPr>
      <w:r>
        <w:rPr>
          <w:b/>
          <w:bCs/>
        </w:rPr>
        <w:t xml:space="preserve">Primary Claim:</w:t>
      </w:r>
      <w:r>
        <w:t xml:space="preserve"> </w:t>
      </w:r>
      <w:r>
        <w:t xml:space="preserve">God’s omniscience, omnipresence, and creative sovereignty are not abstract theological facts but the living ground of both comfort and accountability — and this passage calls every reader to stop hiding and instead offer themselves to be fully known by the One who already knows everything.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“imprecatory”</w:t>
      </w:r>
      <w:r>
        <w:rPr>
          <w:b/>
          <w:bCs/>
        </w:rPr>
        <w:t xml:space="preserve"> </w:t>
      </w:r>
      <w:r>
        <w:rPr>
          <w:b/>
          <w:bCs/>
        </w:rPr>
        <w:t xml:space="preserve">section (vv. 19–22) and its relationship to the whole</w:t>
      </w:r>
    </w:p>
    <w:p>
      <w:pPr>
        <w:pStyle w:val="BodyText"/>
      </w:pPr>
      <w:r>
        <w:t xml:space="preserve">The most significant interpretive challenge in Psalm 139 is the sudden turn in verses 19–22, where the psalmist calls for God to slay the wicked and declares his hatred of those who hate God. Many readers — including careful expositors — treat this section as an embarrassment to be minimized, explained away, or read as a failure of the psalmist’s spiritual maturity. This misreads the passage at a structural level. The imprecatory section is not a lapse; it is the moral consequence of everything that preceded it. If God is the omniscient, omnipresent Creator of every human being, then opposition to that God is the most fundamental possible betrayal of reality. The psalmist’s alignment with God against those who oppose Him is not vindictiveness — it is the logical moral extension of his declaration that God is the supreme Lord of all things. The verses should be</w:t>
      </w:r>
      <w:r>
        <w:t xml:space="preserve"> </w:t>
      </w:r>
      <w:r>
        <w:rPr>
          <w:b/>
          <w:bCs/>
        </w:rPr>
        <w:t xml:space="preserve">acknowledged</w:t>
      </w:r>
      <w:r>
        <w:t xml:space="preserve"> </w:t>
      </w:r>
      <w:r>
        <w:t xml:space="preserve">as genuinely difficult for modern readers,</w:t>
      </w:r>
      <w:r>
        <w:t xml:space="preserve"> </w:t>
      </w:r>
      <w:r>
        <w:rPr>
          <w:b/>
          <w:bCs/>
        </w:rPr>
        <w:t xml:space="preserve">qualified</w:t>
      </w:r>
      <w:r>
        <w:t xml:space="preserve"> </w:t>
      </w:r>
      <w:r>
        <w:t xml:space="preserve">in the sense that the New Testament does not call believers to pray for the physical destruction of enemies (Matthew 5:44), but</w:t>
      </w:r>
      <w:r>
        <w:t xml:space="preserve"> </w:t>
      </w:r>
      <w:r>
        <w:rPr>
          <w:b/>
          <w:bCs/>
        </w:rPr>
        <w:t xml:space="preserve">not refuted</w:t>
      </w:r>
      <w:r>
        <w:t xml:space="preserve"> </w:t>
      </w:r>
      <w:r>
        <w:t xml:space="preserve">as if they represent a pre-Christian failure. Their canonical function is to make the closing self-examination (vv. 23–24) intelligible: the psalmist who hates wickedness is not exempt from the search — he is precisely the one who invites it, because he knows that God’s standard reaches deeper than his own moral self-assessment.</w:t>
      </w:r>
    </w:p>
    <w:p>
      <w:pPr>
        <w:pStyle w:val="BodyText"/>
      </w:pPr>
      <w:r>
        <w:rPr>
          <w:b/>
          <w:bCs/>
        </w:rPr>
        <w:t xml:space="preserve">Wesleyan/Arminian readings — verses 13–16 and human dignity</w:t>
      </w:r>
    </w:p>
    <w:p>
      <w:pPr>
        <w:pStyle w:val="BodyText"/>
      </w:pPr>
      <w:r>
        <w:t xml:space="preserve">Wesleyan and broadly evangelical expositors often gravitate to verses 13–16 primarily as a ground for human dignity and the sanctity of life. This is a genuine contribution that should be</w:t>
      </w:r>
      <w:r>
        <w:t xml:space="preserve"> </w:t>
      </w:r>
      <w:r>
        <w:rPr>
          <w:b/>
          <w:bCs/>
        </w:rPr>
        <w:t xml:space="preserve">acknowledged</w:t>
      </w:r>
      <w:r>
        <w:t xml:space="preserve">: the passage does powerfully establish that every human life is formed by God with intentional care, and this has significant ethical freight. However, the dominant application in this tradition can reduce the passage to a prolife proof-text, detaching verses 13–16 from the wider argument that the psalmist is making about</w:t>
      </w:r>
      <w:r>
        <w:t xml:space="preserve"> </w:t>
      </w:r>
      <w:r>
        <w:rPr>
          <w:i/>
          <w:iCs/>
        </w:rPr>
        <w:t xml:space="preserve">his own relationship to God</w:t>
      </w:r>
      <w:r>
        <w:t xml:space="preserve">. The verses are not primarily about human dignity in the abstract — they are about why</w:t>
      </w:r>
      <w:r>
        <w:t xml:space="preserve"> </w:t>
      </w:r>
      <w:r>
        <w:rPr>
          <w:i/>
          <w:iCs/>
        </w:rPr>
        <w:t xml:space="preserve">God’s knowledge of the psalmist is so thorough</w:t>
      </w:r>
      <w:r>
        <w:t xml:space="preserve">: because God made him. The</w:t>
      </w:r>
      <w:r>
        <w:t xml:space="preserve"> </w:t>
      </w:r>
      <w:r>
        <w:t xml:space="preserve">“dignity”</w:t>
      </w:r>
      <w:r>
        <w:t xml:space="preserve"> </w:t>
      </w:r>
      <w:r>
        <w:t xml:space="preserve">application is a legitimate secondary implication, but the Wesleyan reading that stops here misses the primary claim.</w:t>
      </w:r>
    </w:p>
    <w:p>
      <w:pPr>
        <w:pStyle w:val="BodyText"/>
      </w:pPr>
      <w:r>
        <w:rPr>
          <w:b/>
          <w:bCs/>
        </w:rPr>
        <w:t xml:space="preserve">Charismatic/experiential readings — verses 17–18 as devotional warmth</w:t>
      </w:r>
    </w:p>
    <w:p>
      <w:pPr>
        <w:pStyle w:val="BodyText"/>
      </w:pPr>
      <w:r>
        <w:t xml:space="preserve">A common pattern in devotional and charismatic exposition is to read verses 17–18 (</w:t>
      </w:r>
      <w:r>
        <w:t xml:space="preserve">“how precious to me are your thoughts, O God”</w:t>
      </w:r>
      <w:r>
        <w:t xml:space="preserve">) as primarily an expression of emotional intimacy with God — God thinking warmly about us, a divine love-letter. This reading</w:t>
      </w:r>
      <w:r>
        <w:t xml:space="preserve"> </w:t>
      </w:r>
      <w:r>
        <w:rPr>
          <w:b/>
          <w:bCs/>
        </w:rPr>
        <w:t xml:space="preserve">partially holds</w:t>
      </w:r>
      <w:r>
        <w:t xml:space="preserve"> </w:t>
      </w:r>
      <w:r>
        <w:t xml:space="preserve">but</w:t>
      </w:r>
      <w:r>
        <w:t xml:space="preserve"> </w:t>
      </w:r>
      <w:r>
        <w:rPr>
          <w:b/>
          <w:bCs/>
        </w:rPr>
        <w:t xml:space="preserve">overreaches</w:t>
      </w:r>
      <w:r>
        <w:t xml:space="preserve">. The text is not primarily about God’s affection for the psalmist but about the</w:t>
      </w:r>
      <w:r>
        <w:t xml:space="preserve"> </w:t>
      </w:r>
      <w:r>
        <w:rPr>
          <w:i/>
          <w:iCs/>
        </w:rPr>
        <w:t xml:space="preserve">vastness and incomprehensibility</w:t>
      </w:r>
      <w:r>
        <w:t xml:space="preserve"> </w:t>
      </w:r>
      <w:r>
        <w:t xml:space="preserve">of God’s thoughts. The</w:t>
      </w:r>
      <w:r>
        <w:t xml:space="preserve"> </w:t>
      </w:r>
      <w:r>
        <w:t xml:space="preserve">“precious”</w:t>
      </w:r>
      <w:r>
        <w:t xml:space="preserve"> </w:t>
      </w:r>
      <w:r>
        <w:t xml:space="preserve">(</w:t>
      </w:r>
      <w:r>
        <w:rPr>
          <w:i/>
          <w:iCs/>
        </w:rPr>
        <w:t xml:space="preserve">yaqar</w:t>
      </w:r>
      <w:r>
        <w:t xml:space="preserve">) in verse 17 carries weight, meaning, and worth — not sentimentality. Verses 17–18 are a doxological pause at the</w:t>
      </w:r>
      <w:r>
        <w:t xml:space="preserve"> </w:t>
      </w:r>
      <w:r>
        <w:rPr>
          <w:i/>
          <w:iCs/>
        </w:rPr>
        <w:t xml:space="preserve">incomprehensibility</w:t>
      </w:r>
      <w:r>
        <w:t xml:space="preserve"> </w:t>
      </w:r>
      <w:r>
        <w:t xml:space="preserve">of what the psalmist has just confessed. They lead into the imprecatory section, not into a warm relational conclusion. Exposition that reads these verses as pure emotional warmth will produce sentimentalism and miss the structural movement toward accountability that follows.</w:t>
      </w:r>
    </w:p>
    <w:p>
      <w:pPr>
        <w:pStyle w:val="BodyText"/>
      </w:pPr>
      <w:r>
        <w:rPr>
          <w:b/>
          <w:bCs/>
        </w:rPr>
        <w:t xml:space="preserve">Reformed reading — the entire psalm as a unified theology of divine sovereignty and creaturely accountability</w:t>
      </w:r>
    </w:p>
    <w:p>
      <w:pPr>
        <w:pStyle w:val="BodyText"/>
      </w:pPr>
      <w:r>
        <w:t xml:space="preserve">The Reformed reading holds that the four movements (omniscience, omnipresence, creative sovereignty, volitional alignment) are a unified argument, not loosely related strophes. The psalm begins with God’s knowledge of the psalmist and ends with the psalmist offering himself to God’s knowledge — a full circle that shows the appropriate creaturely response to the God who is both inescapable and gracious. The closing invitation (</w:t>
      </w:r>
      <w:r>
        <w:t xml:space="preserve">“search me and know me”</w:t>
      </w:r>
      <w:r>
        <w:t xml:space="preserve">) is not generic piety — it is the specific, informed response of a creature who has meditated on what God’s omniscience, omnipresence, and creative sovereignty actually mean. This reading best accounts for the structure of the whole psalm, including the imprecatory section, which serves as a moral clarification before the final self-offering.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1:26–27; 2:7</w:t>
      </w:r>
      <w:r>
        <w:t xml:space="preserve"> </w:t>
      </w:r>
      <w:r>
        <w:t xml:space="preserve">— God’s formation of humanity as image-bearers establishes the creative sovereignty that Psalm 139:13–16 celebrates at the individual level; every human being is not merely biologically generated but theologically fashioned.</w:t>
      </w:r>
    </w:p>
    <w:p>
      <w:pPr>
        <w:numPr>
          <w:ilvl w:val="0"/>
          <w:numId w:val="1001"/>
        </w:numPr>
      </w:pPr>
      <w:r>
        <w:rPr>
          <w:b/>
          <w:bCs/>
        </w:rPr>
        <w:t xml:space="preserve">Jeremiah 1:4–5</w:t>
      </w:r>
      <w:r>
        <w:t xml:space="preserve"> </w:t>
      </w:r>
      <w:r>
        <w:t xml:space="preserve">—</w:t>
      </w:r>
      <w:r>
        <w:t xml:space="preserve"> </w:t>
      </w:r>
      <w:r>
        <w:t xml:space="preserve">“Before I formed you in the womb I knew you”</w:t>
      </w:r>
      <w:r>
        <w:t xml:space="preserve"> </w:t>
      </w:r>
      <w:r>
        <w:t xml:space="preserve">— the same language of prenatal divine knowledge applied to an individual’s call and purpose, corroborating the Psalm’s claim that God’s knowledge of a person precedes and governs their existence.</w:t>
      </w:r>
    </w:p>
    <w:p>
      <w:pPr>
        <w:numPr>
          <w:ilvl w:val="0"/>
          <w:numId w:val="1001"/>
        </w:numPr>
      </w:pPr>
      <w:r>
        <w:rPr>
          <w:b/>
          <w:bCs/>
        </w:rPr>
        <w:t xml:space="preserve">Romans 8:38–39</w:t>
      </w:r>
      <w:r>
        <w:t xml:space="preserve"> </w:t>
      </w:r>
      <w:r>
        <w:t xml:space="preserve">— Paul’s declaration that nothing in all creation can separate the believer from the love of God in Christ Jesus is the New Testament fulfillment of Psalm 139’s omnipresence movement: the inescapability of God’s presence is not merely spatial but covenantal and redemptive.</w:t>
      </w:r>
    </w:p>
    <w:p>
      <w:pPr>
        <w:numPr>
          <w:ilvl w:val="0"/>
          <w:numId w:val="1001"/>
        </w:numPr>
      </w:pPr>
      <w:r>
        <w:rPr>
          <w:b/>
          <w:bCs/>
        </w:rPr>
        <w:t xml:space="preserve">Hebrews 4:12–13</w:t>
      </w:r>
      <w:r>
        <w:t xml:space="preserve"> </w:t>
      </w:r>
      <w:r>
        <w:t xml:space="preserve">—</w:t>
      </w:r>
      <w:r>
        <w:t xml:space="preserve"> </w:t>
      </w:r>
      <w:r>
        <w:t xml:space="preserve">“No creature is hidden from his sight, but all are naked and exposed to the eyes of him to whom we must give account”</w:t>
      </w:r>
      <w:r>
        <w:t xml:space="preserve"> </w:t>
      </w:r>
      <w:r>
        <w:t xml:space="preserve">— the New Testament counterpart to Psalm 139’s omniscience movement, now placed explicitly in a context of accountability and the penetrating work of the Word of God.</w:t>
      </w:r>
    </w:p>
    <w:p>
      <w:pPr>
        <w:numPr>
          <w:ilvl w:val="0"/>
          <w:numId w:val="1001"/>
        </w:numPr>
      </w:pPr>
      <w:r>
        <w:rPr>
          <w:b/>
          <w:bCs/>
        </w:rPr>
        <w:t xml:space="preserve">1 Corinthians 13:12</w:t>
      </w:r>
      <w:r>
        <w:t xml:space="preserve"> </w:t>
      </w:r>
      <w:r>
        <w:t xml:space="preserve">—</w:t>
      </w:r>
      <w:r>
        <w:t xml:space="preserve"> </w:t>
      </w:r>
      <w:r>
        <w:t xml:space="preserve">“Now I know in part; then I shall know fully, even as I have been fully known”</w:t>
      </w:r>
      <w:r>
        <w:t xml:space="preserve"> </w:t>
      </w:r>
      <w:r>
        <w:t xml:space="preserve">— Paul’s eschatological use of the</w:t>
      </w:r>
      <w:r>
        <w:t xml:space="preserve"> </w:t>
      </w:r>
      <w:r>
        <w:t xml:space="preserve">“fully known”</w:t>
      </w:r>
      <w:r>
        <w:t xml:space="preserve"> </w:t>
      </w:r>
      <w:r>
        <w:t xml:space="preserve">category echoes Psalm 139’s logic: the God who already knows us completely is the God toward whom we move in increasing knowledge, and being known by Him is the ground of all knowing.</w:t>
      </w:r>
    </w:p>
    <w:p>
      <w:r>
        <w:pict>
          <v:rect style="width:0;height:1.5pt" o:hralign="center" o:hrstd="t" o:hr="t"/>
        </w:pict>
      </w:r>
    </w:p>
    <w:p>
      <w:pPr>
        <w:pStyle w:val="FirstParagraph"/>
      </w:pPr>
      <w:r>
        <w:rPr>
          <w:b/>
          <w:bCs/>
        </w:rPr>
        <w:t xml:space="preserve">Aim:</w:t>
      </w:r>
      <w:r>
        <w:t xml:space="preserve"> </w:t>
      </w:r>
      <w:r>
        <w:t xml:space="preserve">To lead the reader to offer themselves — not reluctantly but trustingly — to the searching gaze of the God who already knows everything about them, has been with them everywhere they have been, and made them with purposeful intentionality.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declaration:</w:t>
            </w:r>
            <w:r>
              <w:t xml:space="preserve"> </w:t>
            </w:r>
            <w:r>
              <w:t xml:space="preserve">“You have searched me and known me”</w:t>
            </w:r>
            <w:r>
              <w:t xml:space="preserve"> </w:t>
            </w:r>
            <w:r>
              <w:t xml:space="preserve">— the perfect tense establishes completed, settled divine knowledge</w:t>
            </w:r>
          </w:p>
        </w:tc>
        <w:tc>
          <w:tcPr/>
          <w:p>
            <w:pPr>
              <w:pStyle w:val="Compact"/>
            </w:pPr>
            <w:r>
              <w:t xml:space="preserve">The verb</w:t>
            </w:r>
            <w:r>
              <w:t xml:space="preserve"> </w:t>
            </w:r>
            <w:r>
              <w:rPr>
                <w:i/>
                <w:iCs/>
              </w:rPr>
              <w:t xml:space="preserve">chaqar</w:t>
            </w:r>
            <w:r>
              <w:t xml:space="preserve"> </w:t>
            </w:r>
            <w:r>
              <w:t xml:space="preserve">(searched) is used of mining or deep investigation; God’s knowledge is not passive but penetrating</w:t>
            </w:r>
          </w:p>
        </w:tc>
      </w:tr>
      <w:tr>
        <w:tc>
          <w:tcPr/>
          <w:p>
            <w:pPr>
              <w:pStyle w:val="Compact"/>
            </w:pPr>
            <w:r>
              <w:t xml:space="preserve">2</w:t>
            </w:r>
          </w:p>
        </w:tc>
        <w:tc>
          <w:tcPr/>
          <w:p>
            <w:pPr>
              <w:pStyle w:val="Compact"/>
            </w:pPr>
            <w:r>
              <w:t xml:space="preserve">God knows the psalmist’s sitting and rising — the full range of physical posture and daily rhythm; He discerns the psalmist’s thoughts from afar</w:t>
            </w:r>
          </w:p>
        </w:tc>
        <w:tc>
          <w:tcPr/>
          <w:p>
            <w:pPr>
              <w:pStyle w:val="Compact"/>
            </w:pPr>
            <w:r>
              <w:t xml:space="preserve">“Afar”</w:t>
            </w:r>
            <w:r>
              <w:t xml:space="preserve"> </w:t>
            </w:r>
            <w:r>
              <w:t xml:space="preserve">likely refers to God’s transcendence, not distance — He knows from beyond yet knows fully</w:t>
            </w:r>
          </w:p>
        </w:tc>
      </w:tr>
      <w:tr>
        <w:tc>
          <w:tcPr/>
          <w:p>
            <w:pPr>
              <w:pStyle w:val="Compact"/>
            </w:pPr>
            <w:r>
              <w:t xml:space="preserve">3</w:t>
            </w:r>
          </w:p>
        </w:tc>
        <w:tc>
          <w:tcPr/>
          <w:p>
            <w:pPr>
              <w:pStyle w:val="Compact"/>
            </w:pPr>
            <w:r>
              <w:t xml:space="preserve">God</w:t>
            </w:r>
            <w:r>
              <w:t xml:space="preserve"> </w:t>
            </w:r>
            <w:r>
              <w:t xml:space="preserve">“searches out”</w:t>
            </w:r>
            <w:r>
              <w:t xml:space="preserve"> </w:t>
            </w:r>
            <w:r>
              <w:t xml:space="preserve">the psalmist’s path and lying down; He is acquainted with all his ways</w:t>
            </w:r>
          </w:p>
        </w:tc>
        <w:tc>
          <w:tcPr/>
          <w:p>
            <w:pPr>
              <w:pStyle w:val="Compact"/>
            </w:pPr>
            <w:r>
              <w:t xml:space="preserve">Every movement, every resting place, every road traveled — nothing is outside the scope of divine knowledge</w:t>
            </w:r>
          </w:p>
        </w:tc>
      </w:tr>
      <w:tr>
        <w:tc>
          <w:tcPr/>
          <w:p>
            <w:pPr>
              <w:pStyle w:val="Compact"/>
            </w:pPr>
            <w:r>
              <w:t xml:space="preserve">4</w:t>
            </w:r>
          </w:p>
        </w:tc>
        <w:tc>
          <w:tcPr/>
          <w:p>
            <w:pPr>
              <w:pStyle w:val="Compact"/>
            </w:pPr>
            <w:r>
              <w:t xml:space="preserve">Even before a word is on the tongue, God knows it completely</w:t>
            </w:r>
          </w:p>
        </w:tc>
        <w:tc>
          <w:tcPr/>
          <w:p>
            <w:pPr>
              <w:pStyle w:val="Compact"/>
            </w:pPr>
            <w:r>
              <w:t xml:space="preserve">Pre-verbal knowledge — not merely God knowing what is said but knowing before speech what will be said</w:t>
            </w:r>
          </w:p>
        </w:tc>
      </w:tr>
      <w:tr>
        <w:tc>
          <w:tcPr/>
          <w:p>
            <w:pPr>
              <w:pStyle w:val="Compact"/>
            </w:pPr>
            <w:r>
              <w:t xml:space="preserve">5</w:t>
            </w:r>
          </w:p>
        </w:tc>
        <w:tc>
          <w:tcPr/>
          <w:p>
            <w:pPr>
              <w:pStyle w:val="Compact"/>
            </w:pPr>
            <w:r>
              <w:t xml:space="preserve">God has hemmed the psalmist in behind and before, and laid His hand upon him</w:t>
            </w:r>
          </w:p>
        </w:tc>
        <w:tc>
          <w:tcPr/>
          <w:p>
            <w:pPr>
              <w:pStyle w:val="Compact"/>
            </w:pPr>
            <w:r>
              <w:t xml:space="preserve">The imagery is of enclosure — not confinement as oppression but as comprehensive accompaniment; the hand is protective</w:t>
            </w:r>
          </w:p>
        </w:tc>
      </w:tr>
      <w:tr>
        <w:tc>
          <w:tcPr/>
          <w:p>
            <w:pPr>
              <w:pStyle w:val="Compact"/>
            </w:pPr>
            <w:r>
              <w:t xml:space="preserve">6</w:t>
            </w:r>
          </w:p>
        </w:tc>
        <w:tc>
          <w:tcPr/>
          <w:p>
            <w:pPr>
              <w:pStyle w:val="Compact"/>
            </w:pPr>
            <w:r>
              <w:t xml:space="preserve">The psalmist’s response to this knowledge: wonder —</w:t>
            </w:r>
            <w:r>
              <w:t xml:space="preserve"> </w:t>
            </w:r>
            <w:r>
              <w:t xml:space="preserve">“such knowledge is too wonderful for me; it is high; I cannot attain it”</w:t>
            </w:r>
          </w:p>
        </w:tc>
        <w:tc>
          <w:tcPr/>
          <w:p>
            <w:pPr>
              <w:pStyle w:val="Compact"/>
            </w:pPr>
            <w:r>
              <w:t xml:space="preserve">This is not fear but reverent awe at the incomprehensibility of what has just been said</w:t>
            </w:r>
          </w:p>
        </w:tc>
      </w:tr>
      <w:tr>
        <w:tc>
          <w:tcPr/>
          <w:p>
            <w:pPr>
              <w:pStyle w:val="Compact"/>
            </w:pPr>
            <w:r>
              <w:t xml:space="preserve">7</w:t>
            </w:r>
          </w:p>
        </w:tc>
        <w:tc>
          <w:tcPr/>
          <w:p>
            <w:pPr>
              <w:pStyle w:val="Compact"/>
            </w:pPr>
            <w:r>
              <w:t xml:space="preserve">“Where shall I go from your Spirit? Where shall I flee from your presence?”</w:t>
            </w:r>
            <w:r>
              <w:t xml:space="preserve"> </w:t>
            </w:r>
            <w:r>
              <w:t xml:space="preserve">— not a lament but a rhetorical question establishing inescapability</w:t>
            </w:r>
          </w:p>
        </w:tc>
        <w:tc>
          <w:tcPr/>
          <w:p>
            <w:pPr>
              <w:pStyle w:val="Compact"/>
            </w:pPr>
            <w:r>
              <w:t xml:space="preserve">The question is not</w:t>
            </w:r>
            <w:r>
              <w:t xml:space="preserve"> </w:t>
            </w:r>
            <w:r>
              <w:t xml:space="preserve">“how do I escape?”</w:t>
            </w:r>
            <w:r>
              <w:t xml:space="preserve"> </w:t>
            </w:r>
            <w:r>
              <w:t xml:space="preserve">but</w:t>
            </w:r>
            <w:r>
              <w:t xml:space="preserve"> </w:t>
            </w:r>
            <w:r>
              <w:t xml:space="preserve">“is there anywhere I could go?”</w:t>
            </w:r>
            <w:r>
              <w:t xml:space="preserve"> </w:t>
            </w:r>
            <w:r>
              <w:t xml:space="preserve">— and the answer is no</w:t>
            </w:r>
          </w:p>
        </w:tc>
      </w:tr>
      <w:tr>
        <w:tc>
          <w:tcPr/>
          <w:p>
            <w:pPr>
              <w:pStyle w:val="Compact"/>
            </w:pPr>
            <w:r>
              <w:t xml:space="preserve">8</w:t>
            </w:r>
          </w:p>
        </w:tc>
        <w:tc>
          <w:tcPr/>
          <w:p>
            <w:pPr>
              <w:pStyle w:val="Compact"/>
            </w:pPr>
            <w:r>
              <w:t xml:space="preserve">If the psalmist ascends to heaven, God is there; if he makes his bed in Sheol, God is there</w:t>
            </w:r>
          </w:p>
        </w:tc>
        <w:tc>
          <w:tcPr/>
          <w:p>
            <w:pPr>
              <w:pStyle w:val="Compact"/>
            </w:pPr>
            <w:r>
              <w:t xml:space="preserve">The full vertical axis of existence — highest height and lowest depth — is under God’s presence</w:t>
            </w:r>
          </w:p>
        </w:tc>
      </w:tr>
      <w:tr>
        <w:tc>
          <w:tcPr/>
          <w:p>
            <w:pPr>
              <w:pStyle w:val="Compact"/>
            </w:pPr>
            <w:r>
              <w:t xml:space="preserve">9–10</w:t>
            </w:r>
          </w:p>
        </w:tc>
        <w:tc>
          <w:tcPr/>
          <w:p>
            <w:pPr>
              <w:pStyle w:val="Compact"/>
            </w:pPr>
            <w:r>
              <w:t xml:space="preserve">If the psalmist takes the wings of the morning and dwells at the uttermost parts of the sea, God’s hand leads and holds him even there</w:t>
            </w:r>
          </w:p>
        </w:tc>
        <w:tc>
          <w:tcPr/>
          <w:p>
            <w:pPr>
              <w:pStyle w:val="Compact"/>
            </w:pPr>
            <w:r>
              <w:t xml:space="preserve">The horizontal axis — from east (dawn) to west (farthest sea) — is equally encompassed</w:t>
            </w:r>
          </w:p>
        </w:tc>
      </w:tr>
      <w:tr>
        <w:tc>
          <w:tcPr/>
          <w:p>
            <w:pPr>
              <w:pStyle w:val="Compact"/>
            </w:pPr>
            <w:r>
              <w:t xml:space="preserve">11–12</w:t>
            </w:r>
          </w:p>
        </w:tc>
        <w:tc>
          <w:tcPr/>
          <w:p>
            <w:pPr>
              <w:pStyle w:val="Compact"/>
            </w:pPr>
            <w:r>
              <w:t xml:space="preserve">Even darkness cannot hide from God; the night is as bright as day to Him</w:t>
            </w:r>
          </w:p>
        </w:tc>
        <w:tc>
          <w:tcPr/>
          <w:p>
            <w:pPr>
              <w:pStyle w:val="Compact"/>
            </w:pPr>
            <w:r>
              <w:t xml:space="preserve">Darkness was commonly associated with hiddenness, secrecy, and the absence of divine oversight; the psalmist demolishes this assumption</w:t>
            </w:r>
          </w:p>
        </w:tc>
      </w:tr>
      <w:tr>
        <w:tc>
          <w:tcPr/>
          <w:p>
            <w:pPr>
              <w:pStyle w:val="Compact"/>
            </w:pPr>
            <w:r>
              <w:t xml:space="preserve">13</w:t>
            </w:r>
          </w:p>
        </w:tc>
        <w:tc>
          <w:tcPr/>
          <w:p>
            <w:pPr>
              <w:pStyle w:val="Compact"/>
            </w:pPr>
            <w:r>
              <w:t xml:space="preserve">“You formed my inward parts; you knitted me together in my mother’s womb”</w:t>
            </w:r>
          </w:p>
        </w:tc>
        <w:tc>
          <w:tcPr/>
          <w:p>
            <w:pPr>
              <w:pStyle w:val="Compact"/>
            </w:pPr>
            <w:r>
              <w:t xml:space="preserve">The verb</w:t>
            </w:r>
            <w:r>
              <w:t xml:space="preserve"> </w:t>
            </w:r>
            <w:r>
              <w:rPr>
                <w:i/>
                <w:iCs/>
              </w:rPr>
              <w:t xml:space="preserve">qanah</w:t>
            </w:r>
            <w:r>
              <w:t xml:space="preserve"> </w:t>
            </w:r>
            <w:r>
              <w:t xml:space="preserve">(formed/created) and the image of knitting establish intimate, detailed, purposeful formation</w:t>
            </w:r>
          </w:p>
        </w:tc>
      </w:tr>
      <w:tr>
        <w:tc>
          <w:tcPr/>
          <w:p>
            <w:pPr>
              <w:pStyle w:val="Compact"/>
            </w:pPr>
            <w:r>
              <w:t xml:space="preserve">14</w:t>
            </w:r>
          </w:p>
        </w:tc>
        <w:tc>
          <w:tcPr/>
          <w:p>
            <w:pPr>
              <w:pStyle w:val="Compact"/>
            </w:pPr>
            <w:r>
              <w:t xml:space="preserve">“I praise you, for I am fearfully and wonderfully made”</w:t>
            </w:r>
            <w:r>
              <w:t xml:space="preserve"> </w:t>
            </w:r>
            <w:r>
              <w:t xml:space="preserve">— the psalmist’s response to his own creation is worship</w:t>
            </w:r>
          </w:p>
        </w:tc>
        <w:tc>
          <w:tcPr/>
          <w:p>
            <w:pPr>
              <w:pStyle w:val="Compact"/>
            </w:pPr>
            <w:r>
              <w:t xml:space="preserve">This is often decontextualized; it is a doxological response to the argument of vv. 13–16, not a standalone assertion</w:t>
            </w:r>
          </w:p>
        </w:tc>
      </w:tr>
      <w:tr>
        <w:tc>
          <w:tcPr/>
          <w:p>
            <w:pPr>
              <w:pStyle w:val="Compact"/>
            </w:pPr>
            <w:r>
              <w:t xml:space="preserve">15</w:t>
            </w:r>
          </w:p>
        </w:tc>
        <w:tc>
          <w:tcPr/>
          <w:p>
            <w:pPr>
              <w:pStyle w:val="Compact"/>
            </w:pPr>
            <w:r>
              <w:t xml:space="preserve">“My frame was not hidden from you when I was being made in secret, intricately woven in the depths of the earth”</w:t>
            </w:r>
          </w:p>
        </w:tc>
        <w:tc>
          <w:tcPr/>
          <w:p>
            <w:pPr>
              <w:pStyle w:val="Compact"/>
            </w:pPr>
            <w:r>
              <w:t xml:space="preserve">The womb as</w:t>
            </w:r>
            <w:r>
              <w:t xml:space="preserve"> </w:t>
            </w:r>
            <w:r>
              <w:t xml:space="preserve">“secret place”</w:t>
            </w:r>
            <w:r>
              <w:t xml:space="preserve"> </w:t>
            </w:r>
            <w:r>
              <w:t xml:space="preserve">echoes the darkness imagery of vv. 11–12 — even where human sight cannot reach, God sees</w:t>
            </w:r>
          </w:p>
        </w:tc>
      </w:tr>
      <w:tr>
        <w:tc>
          <w:tcPr/>
          <w:p>
            <w:pPr>
              <w:pStyle w:val="Compact"/>
            </w:pPr>
            <w:r>
              <w:t xml:space="preserve">16</w:t>
            </w:r>
          </w:p>
        </w:tc>
        <w:tc>
          <w:tcPr/>
          <w:p>
            <w:pPr>
              <w:pStyle w:val="Compact"/>
            </w:pPr>
            <w:r>
              <w:t xml:space="preserve">“In your book were written, every one of them, the days that were formed for me, when as yet there was none of them”</w:t>
            </w:r>
          </w:p>
        </w:tc>
        <w:tc>
          <w:tcPr/>
          <w:p>
            <w:pPr>
              <w:pStyle w:val="Compact"/>
            </w:pPr>
            <w:r>
              <w:t xml:space="preserve">Divine foreordination of the psalmist’s days — not merely their number but their content, written before they began</w:t>
            </w:r>
          </w:p>
        </w:tc>
      </w:tr>
      <w:tr>
        <w:tc>
          <w:tcPr/>
          <w:p>
            <w:pPr>
              <w:pStyle w:val="Compact"/>
            </w:pPr>
            <w:r>
              <w:t xml:space="preserve">17–18</w:t>
            </w:r>
          </w:p>
        </w:tc>
        <w:tc>
          <w:tcPr/>
          <w:p>
            <w:pPr>
              <w:pStyle w:val="Compact"/>
            </w:pPr>
            <w:r>
              <w:t xml:space="preserve">“How precious to me are your thoughts, O God! How vast is the sum of them! If I would count them, they are more than the sand”</w:t>
            </w:r>
          </w:p>
        </w:tc>
        <w:tc>
          <w:tcPr/>
          <w:p>
            <w:pPr>
              <w:pStyle w:val="Compact"/>
            </w:pPr>
            <w:r>
              <w:t xml:space="preserve">A doxological pause — the psalmist overwhelmed by the sheer weight of God’s attentiveness; ends with</w:t>
            </w:r>
            <w:r>
              <w:t xml:space="preserve"> </w:t>
            </w:r>
            <w:r>
              <w:t xml:space="preserve">“I am still with you”</w:t>
            </w:r>
          </w:p>
        </w:tc>
      </w:tr>
      <w:tr>
        <w:tc>
          <w:tcPr/>
          <w:p>
            <w:pPr>
              <w:pStyle w:val="Compact"/>
            </w:pPr>
            <w:r>
              <w:t xml:space="preserve">19–20</w:t>
            </w:r>
          </w:p>
        </w:tc>
        <w:tc>
          <w:tcPr/>
          <w:p>
            <w:pPr>
              <w:pStyle w:val="Compact"/>
            </w:pPr>
            <w:r>
              <w:t xml:space="preserve">Petition for God to slay the wicked; description of the wicked as those who speak against God with malicious intent</w:t>
            </w:r>
          </w:p>
        </w:tc>
        <w:tc>
          <w:tcPr/>
          <w:p>
            <w:pPr>
              <w:pStyle w:val="Compact"/>
            </w:pPr>
            <w:r>
              <w:t xml:space="preserve">The transition is jarring by design — given everything stated, opposition to God is the most inexplicable and reprehensible posture</w:t>
            </w:r>
          </w:p>
        </w:tc>
      </w:tr>
      <w:tr>
        <w:tc>
          <w:tcPr/>
          <w:p>
            <w:pPr>
              <w:pStyle w:val="Compact"/>
            </w:pPr>
            <w:r>
              <w:t xml:space="preserve">21–22</w:t>
            </w:r>
          </w:p>
        </w:tc>
        <w:tc>
          <w:tcPr/>
          <w:p>
            <w:pPr>
              <w:pStyle w:val="Compact"/>
            </w:pPr>
            <w:r>
              <w:t xml:space="preserve">The psalmist declares his hatred of those who hate God; counts them his enemies; calls it</w:t>
            </w:r>
            <w:r>
              <w:t xml:space="preserve"> </w:t>
            </w:r>
            <w:r>
              <w:t xml:space="preserve">“perfect hatred”</w:t>
            </w:r>
          </w:p>
        </w:tc>
        <w:tc>
          <w:tcPr/>
          <w:p>
            <w:pPr>
              <w:pStyle w:val="Compact"/>
            </w:pPr>
            <w:r>
              <w:rPr>
                <w:i/>
                <w:iCs/>
              </w:rPr>
              <w:t xml:space="preserve">Shana</w:t>
            </w:r>
            <w:r>
              <w:t xml:space="preserve"> </w:t>
            </w:r>
            <w:r>
              <w:t xml:space="preserve">(hate) is moral/volitional, not emotional rage;</w:t>
            </w:r>
            <w:r>
              <w:t xml:space="preserve"> </w:t>
            </w:r>
            <w:r>
              <w:t xml:space="preserve">“perfect hatred”</w:t>
            </w:r>
            <w:r>
              <w:t xml:space="preserve"> </w:t>
            </w:r>
            <w:r>
              <w:t xml:space="preserve">= complete alignment of one’s moral response with God’s moral reality</w:t>
            </w:r>
          </w:p>
        </w:tc>
      </w:tr>
      <w:tr>
        <w:tc>
          <w:tcPr/>
          <w:p>
            <w:pPr>
              <w:pStyle w:val="Compact"/>
            </w:pPr>
            <w:r>
              <w:t xml:space="preserve">23–24</w:t>
            </w:r>
          </w:p>
        </w:tc>
        <w:tc>
          <w:tcPr/>
          <w:p>
            <w:pPr>
              <w:pStyle w:val="Compact"/>
            </w:pPr>
            <w:r>
              <w:t xml:space="preserve">Closing invitation:</w:t>
            </w:r>
            <w:r>
              <w:t xml:space="preserve"> </w:t>
            </w:r>
            <w:r>
              <w:t xml:space="preserve">“Search me, O God, and know my heart! Try me and know my thoughts! See if there is any grievous way in me, and lead me in the way everlasting!”</w:t>
            </w:r>
          </w:p>
        </w:tc>
        <w:tc>
          <w:tcPr/>
          <w:p>
            <w:pPr>
              <w:pStyle w:val="Compact"/>
            </w:pPr>
            <w:r>
              <w:t xml:space="preserve">The full circle — God’s omniscience declared in v. 1 is now invited in v. 23; the psalm ends not with self-justification but with surrender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God Who Knows — Divine Omniscience: God’s exhaustive, penetrating knowledge of the psalmist’s every thought, word, and movement</w:t>
            </w:r>
          </w:p>
        </w:tc>
      </w:tr>
      <w:tr>
        <w:tc>
          <w:tcPr/>
          <w:p>
            <w:pPr>
              <w:pStyle w:val="Compact"/>
            </w:pPr>
            <w:r>
              <w:t xml:space="preserve">2</w:t>
            </w:r>
          </w:p>
        </w:tc>
        <w:tc>
          <w:tcPr/>
          <w:p>
            <w:pPr>
              <w:pStyle w:val="Compact"/>
            </w:pPr>
            <w:r>
              <w:t xml:space="preserve">7–12</w:t>
            </w:r>
          </w:p>
        </w:tc>
        <w:tc>
          <w:tcPr/>
          <w:p>
            <w:pPr>
              <w:pStyle w:val="Compact"/>
            </w:pPr>
            <w:r>
              <w:t xml:space="preserve">The God Who Is There — Divine Omnipresence: the inescapability of God’s presence across every spatial and experiential coordinate</w:t>
            </w:r>
          </w:p>
        </w:tc>
      </w:tr>
      <w:tr>
        <w:tc>
          <w:tcPr/>
          <w:p>
            <w:pPr>
              <w:pStyle w:val="Compact"/>
            </w:pPr>
            <w:r>
              <w:t xml:space="preserve">3</w:t>
            </w:r>
          </w:p>
        </w:tc>
        <w:tc>
          <w:tcPr/>
          <w:p>
            <w:pPr>
              <w:pStyle w:val="Compact"/>
            </w:pPr>
            <w:r>
              <w:t xml:space="preserve">13–18</w:t>
            </w:r>
          </w:p>
        </w:tc>
        <w:tc>
          <w:tcPr/>
          <w:p>
            <w:pPr>
              <w:pStyle w:val="Compact"/>
            </w:pPr>
            <w:r>
              <w:t xml:space="preserve">The God Who Made Me — Divine Creative Sovereignty: God’s purposeful formation of the psalmist in the womb and the ordination of his days</w:t>
            </w:r>
          </w:p>
        </w:tc>
      </w:tr>
      <w:tr>
        <w:tc>
          <w:tcPr/>
          <w:p>
            <w:pPr>
              <w:pStyle w:val="Compact"/>
            </w:pPr>
            <w:r>
              <w:t xml:space="preserve">4</w:t>
            </w:r>
          </w:p>
        </w:tc>
        <w:tc>
          <w:tcPr/>
          <w:p>
            <w:pPr>
              <w:pStyle w:val="Compact"/>
            </w:pPr>
            <w:r>
              <w:t xml:space="preserve">19–22</w:t>
            </w:r>
          </w:p>
        </w:tc>
        <w:tc>
          <w:tcPr/>
          <w:p>
            <w:pPr>
              <w:pStyle w:val="Compact"/>
            </w:pPr>
            <w:r>
              <w:t xml:space="preserve">The God Who Judges — The Moral Consequence: the psalmist’s alignment with God against those who oppose Him</w:t>
            </w:r>
          </w:p>
        </w:tc>
      </w:tr>
      <w:tr>
        <w:tc>
          <w:tcPr/>
          <w:p>
            <w:pPr>
              <w:pStyle w:val="Compact"/>
            </w:pPr>
            <w:r>
              <w:t xml:space="preserve">5</w:t>
            </w:r>
          </w:p>
        </w:tc>
        <w:tc>
          <w:tcPr/>
          <w:p>
            <w:pPr>
              <w:pStyle w:val="Compact"/>
            </w:pPr>
            <w:r>
              <w:t xml:space="preserve">23–24</w:t>
            </w:r>
          </w:p>
        </w:tc>
        <w:tc>
          <w:tcPr/>
          <w:p>
            <w:pPr>
              <w:pStyle w:val="Compact"/>
            </w:pPr>
            <w:r>
              <w:t xml:space="preserve">The God Who Searches — The Volitional Response: the psalmist’s closing invitation for God to search and try him and lead him in the everlasting way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 exhaustively knows, everywhere accompanies, and purposefully made His servant now calls him to be fully searched.</w:t>
      </w:r>
    </w:p>
    <w:p>
      <w:pPr>
        <w:pStyle w:val="BodyText"/>
      </w:pPr>
      <w:r>
        <w:rPr>
          <w:b/>
          <w:bCs/>
        </w:rPr>
        <w:t xml:space="preserve">Primary Claim:</w:t>
      </w:r>
      <w:r>
        <w:t xml:space="preserve"> </w:t>
      </w:r>
      <w:r>
        <w:t xml:space="preserve">God’s omniscience, omnipresence, and creative sovereignty are not abstract theological facts but the living ground of both comfort and accountability — and this passage calls every reader to stop hiding and instead offer themselves to be fully known by the One who already knows everything.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comfort of being fully known without being rejected.</w:t>
      </w:r>
      <w:r>
        <w:t xml:space="preserve"> </w:t>
      </w:r>
      <w:r>
        <w:rPr>
          <w:i/>
          <w:iCs/>
        </w:rPr>
        <w:t xml:space="preserve">(Affections/Worship)</w:t>
      </w:r>
      <w:r>
        <w:t xml:space="preserve"> </w:t>
      </w:r>
      <w:r>
        <w:t xml:space="preserve">The opening movement of Psalm 139 is not a threat but a gift — God has searched you, knows your sitting and rising, your thoughts before you form them, your words before you speak them, and He has not withdrawn. For many people, the experience of being truly known has been the experience of being abandoned — known and then rejected. This psalm offers the only relationship in the universe where that is impossible. The God who knows everything about you — not your best self, not the self you present, but the full interior reality — has not fled. Rest in that. Let the specific shape of God’s knowledge described in verses 1–6 replace the free-floating anxiety of</w:t>
      </w:r>
      <w:r>
        <w:t xml:space="preserve"> </w:t>
      </w:r>
      <w:r>
        <w:t xml:space="preserve">“if they really knew me, they would leave.”</w:t>
      </w:r>
    </w:p>
    <w:p>
      <w:pPr>
        <w:pStyle w:val="BodyText"/>
      </w:pPr>
      <w:r>
        <w:rPr>
          <w:b/>
          <w:bCs/>
        </w:rPr>
        <w:t xml:space="preserve">2. Reframe your darkest moments as accompanied, not abandoned.</w:t>
      </w:r>
      <w:r>
        <w:t xml:space="preserve"> </w:t>
      </w:r>
      <w:r>
        <w:rPr>
          <w:i/>
          <w:iCs/>
        </w:rPr>
        <w:t xml:space="preserve">(Mind/Belief)</w:t>
      </w:r>
      <w:r>
        <w:t xml:space="preserve"> </w:t>
      </w:r>
      <w:r>
        <w:t xml:space="preserve">Verses 7–12 demolish the assumption that darkness equals divine absence. The psalmist identifies the specific coordinates where people believe God cannot reach — Sheol, the uttermost sea, the middle of the night — and declares each of them fully under God’s presence. Many believers have constructed a functional theology in which suffering, shame, depression, or spiritual dryness equals God’s absence. This passage names that as false. You are not in a place God cannot find. The night around you is as bright as noon to the God who is already there. Repent of the theology that equates your experience of darkness with God’s absence, and rebuild your understanding on the fact of His presence.</w:t>
      </w:r>
    </w:p>
    <w:p>
      <w:pPr>
        <w:pStyle w:val="BodyText"/>
      </w:pPr>
      <w:r>
        <w:rPr>
          <w:b/>
          <w:bCs/>
        </w:rPr>
        <w:t xml:space="preserve">3. Worship God specifically for the intentionality of your own making.</w:t>
      </w:r>
      <w:r>
        <w:t xml:space="preserve"> </w:t>
      </w:r>
      <w:r>
        <w:rPr>
          <w:i/>
          <w:iCs/>
        </w:rPr>
        <w:t xml:space="preserve">(Affections/Worship)</w:t>
      </w:r>
      <w:r>
        <w:t xml:space="preserve"> </w:t>
      </w:r>
      <w:r>
        <w:t xml:space="preserve">Verses 13–16 are not a generic statement about human dignity — they are an invitation to personal doxology. The psalmist’s response to learning that God knitted him together, that his frame was not hidden in the secret place, that his days were written before they began, is not an ethical proposition but a song:</w:t>
      </w:r>
      <w:r>
        <w:t xml:space="preserve"> </w:t>
      </w:r>
      <w:r>
        <w:t xml:space="preserve">“I praise you, for I am fearfully and wonderfully made.”</w:t>
      </w:r>
      <w:r>
        <w:t xml:space="preserve"> </w:t>
      </w:r>
      <w:r>
        <w:t xml:space="preserve">The application is not</w:t>
      </w:r>
      <w:r>
        <w:t xml:space="preserve"> </w:t>
      </w:r>
      <w:r>
        <w:t xml:space="preserve">“therefore oppose abortion”</w:t>
      </w:r>
      <w:r>
        <w:t xml:space="preserve"> </w:t>
      </w:r>
      <w:r>
        <w:t xml:space="preserve">— though that implication holds — but</w:t>
      </w:r>
      <w:r>
        <w:t xml:space="preserve"> </w:t>
      </w:r>
      <w:r>
        <w:t xml:space="preserve">“therefore worship.”</w:t>
      </w:r>
      <w:r>
        <w:t xml:space="preserve"> </w:t>
      </w:r>
      <w:r>
        <w:t xml:space="preserve">Spend time in specific, personal gratitude for the fact that God’s formation of you was intentional, detailed, and purposeful. The shape of your life — including what you would call its limitations — was made, not fumbled.</w:t>
      </w:r>
    </w:p>
    <w:p>
      <w:pPr>
        <w:pStyle w:val="BodyText"/>
      </w:pPr>
      <w:r>
        <w:rPr>
          <w:b/>
          <w:bCs/>
        </w:rPr>
        <w:t xml:space="preserve">4. Audit your relationship to wickedness against the psalmist’s standard.</w:t>
      </w:r>
      <w:r>
        <w:t xml:space="preserve"> </w:t>
      </w:r>
      <w:r>
        <w:rPr>
          <w:i/>
          <w:iCs/>
        </w:rPr>
        <w:t xml:space="preserve">(Mind/Belief)</w:t>
      </w:r>
      <w:r>
        <w:t xml:space="preserve"> </w:t>
      </w:r>
      <w:r>
        <w:t xml:space="preserve">The imprecatory section (vv. 19–22) confronts the reader with a question most sermons on Psalm 139 skip: do you share God’s moral response to opposition against Him? The psalmist’s</w:t>
      </w:r>
      <w:r>
        <w:t xml:space="preserve"> </w:t>
      </w:r>
      <w:r>
        <w:t xml:space="preserve">“perfect hatred”</w:t>
      </w:r>
      <w:r>
        <w:t xml:space="preserve"> </w:t>
      </w:r>
      <w:r>
        <w:t xml:space="preserve">of the wicked is not an emotional rage but a complete moral alignment with God’s evaluation of what is evil. Contemporary Christianity has largely lost the capacity for moral seriousness — a flattening of evaluation in which everything is met with tolerance and nothing is called wicked. This passage does not call believers to personal vengeance, but it does call them to refuse moral neutrality. Ask concretely: have you been softening your evaluation of sin — in culture, in your own life — in ways that represent a quiet drift away from God’s own assessment?</w:t>
      </w:r>
    </w:p>
    <w:p>
      <w:pPr>
        <w:pStyle w:val="BodyText"/>
      </w:pPr>
      <w:r>
        <w:rPr>
          <w:b/>
          <w:bCs/>
        </w:rPr>
        <w:t xml:space="preserve">5. Pray Psalm 139:23–24 as a daily structured act of surrender.</w:t>
      </w:r>
      <w:r>
        <w:t xml:space="preserve"> </w:t>
      </w:r>
      <w:r>
        <w:rPr>
          <w:i/>
          <w:iCs/>
        </w:rPr>
        <w:t xml:space="preserve">(Will/Behavior)</w:t>
      </w:r>
      <w:r>
        <w:t xml:space="preserve"> </w:t>
      </w:r>
      <w:r>
        <w:t xml:space="preserve">The closing verses are not a decorative conclusion — they are the specific behavioral response the entire psalm has been building toward. The psalmist who has meditated on God’s omniscience, omnipresence, and creative sovereignty does not end in passive contemplation; he ends in active invitation:</w:t>
      </w:r>
      <w:r>
        <w:t xml:space="preserve"> </w:t>
      </w:r>
      <w:r>
        <w:t xml:space="preserve">“Search me. Try me. See if there is any grievous way in me. Lead me.”</w:t>
      </w:r>
      <w:r>
        <w:t xml:space="preserve"> </w:t>
      </w:r>
      <w:r>
        <w:t xml:space="preserve">This is a structured prayer discipline, not a vague spiritual posture. Begin each day — or end each day — with verses 23–24 prayed specifically: naming the anxious thoughts (v. 23b), asking for God’s searchlight rather than your own self-assessment, and submitting to being led rather than self-directing. The</w:t>
      </w:r>
      <w:r>
        <w:t xml:space="preserve"> </w:t>
      </w:r>
      <w:r>
        <w:t xml:space="preserve">“way everlasting”</w:t>
      </w:r>
      <w:r>
        <w:t xml:space="preserve"> </w:t>
      </w:r>
      <w:r>
        <w:t xml:space="preserve">is not discovered by introspection — it is walked under divine leading.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139 provides the most sustained, unified presentation of divine omniscience and omnipresence in the Hebrew Psalter, and it grounds both attributes not in abstract metaphysics but in the concrete relationship between the Creator and His creature. The passage teaches that God’s knowledge is not general or statistical but personal and penetrating — He knows</w:t>
      </w:r>
      <w:r>
        <w:t xml:space="preserve"> </w:t>
      </w:r>
      <w:r>
        <w:rPr>
          <w:i/>
          <w:iCs/>
        </w:rPr>
        <w:t xml:space="preserve">this person</w:t>
      </w:r>
      <w:r>
        <w:t xml:space="preserve">, at</w:t>
      </w:r>
      <w:r>
        <w:t xml:space="preserve"> </w:t>
      </w:r>
      <w:r>
        <w:rPr>
          <w:i/>
          <w:iCs/>
        </w:rPr>
        <w:t xml:space="preserve">this moment</w:t>
      </w:r>
      <w:r>
        <w:t xml:space="preserve">, with</w:t>
      </w:r>
      <w:r>
        <w:t xml:space="preserve"> </w:t>
      </w:r>
      <w:r>
        <w:rPr>
          <w:i/>
          <w:iCs/>
        </w:rPr>
        <w:t xml:space="preserve">this thought forming before it reaches speech</w:t>
      </w:r>
      <w:r>
        <w:t xml:space="preserve">. His presence is not evenly distributed background radiation but active accompaniment — He leads, holds, and goes with. The grounding of both attributes in the doctrine of creation (vv. 13–16) is theologically significant: God’s omniscience and omnipresence toward this person are not arbitrary divine powers exercised from outside — they are the natural expression of the relationship that exists because God made the psalmist. You cannot be hidden from the One who wove you together. The passage also teaches that these attributes have moral consequences: the God who is everywhere present and knows everything is the God to whom every creature is accountable, and the appropriate response of a creature who understands this is not evasion but surrender.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139 is a premier biblical text for the Reformed doctrine of divine sovereignty as it pertains to the individual. The ordination of the psalmist’s days before one of them came to be (v. 16) is a clear expression of particular divine providence — not merely that God knows the future but that God has purposefully ordered it, written it before it was lived. This is not generalized foreknowledge but active, detailed foreordination, consistent with the Reformed understanding of God’s sovereignty over all things including the specific contours of each individual life. The passage also powerfully illustrates the Reformed insistence that divine sovereignty is not cold or mechanical but personally intimate — the same God who has written your days has knitted you together, formed your inward parts, and filled your thoughts with a weight more numerous than the sand. This counters the common caricature of Reformed theology as impersonal or deterministic: the God of Psalm 139 is not a clockmaker but a craftsman who forms each person with purposeful care. The closing invitation —</w:t>
      </w:r>
      <w:r>
        <w:t xml:space="preserve"> </w:t>
      </w:r>
      <w:r>
        <w:t xml:space="preserve">“search me and know me”</w:t>
      </w:r>
      <w:r>
        <w:t xml:space="preserve"> </w:t>
      </w:r>
      <w:r>
        <w:t xml:space="preserve">— also expresses the Reformed understanding of sanctification as the Spirit’s work: the psalmist does not trust his own self-examination but submits to divine searching, recognizing that the</w:t>
      </w:r>
      <w:r>
        <w:t xml:space="preserve"> </w:t>
      </w:r>
      <w:r>
        <w:t xml:space="preserve">“grievous way”</w:t>
      </w:r>
      <w:r>
        <w:t xml:space="preserve"> </w:t>
      </w:r>
      <w:r>
        <w:t xml:space="preserve">in him may not be visible to his own introspection.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knows every thought you have not yet spoken, who has been present in every dark place you thought was hidden, and who knitted you together with purposeful intentionality before you drew your first breath — that God is not your pursuer to be fled but your Father to be found. You are fully known and you have not been abandoned. Stop hiding. Say the words the psalmist said:</w:t>
      </w:r>
      <w:r>
        <w:t xml:space="preserve"> </w:t>
      </w:r>
      <w:r>
        <w:t xml:space="preserve">“Search me. Try me. Lead me.”</w:t>
      </w:r>
      <w:r>
        <w:t xml:space="preserve"> </w:t>
      </w:r>
      <w:r>
        <w:t xml:space="preserve">That is the whole posture the psalm is after.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three independent doctrinal units rather than one unified argument.</w:t>
      </w:r>
      <w:r>
        <w:t xml:space="preserve"> </w:t>
      </w:r>
      <w:r>
        <w:t xml:space="preserve">The most common structural failure is preaching the omniscience section, the omnipresence section, and the creation section as three loosely related themes connected by the word</w:t>
      </w:r>
      <w:r>
        <w:t xml:space="preserve"> </w:t>
      </w:r>
      <w:r>
        <w:t xml:space="preserve">“God.”</w:t>
      </w:r>
      <w:r>
        <w:t xml:space="preserve"> </w:t>
      </w:r>
      <w:r>
        <w:t xml:space="preserve">The psalm is a unified argument: God’s omniscience and omnipresence are grounded in His role as Creator, and the moral consequence of all three is the closing posture of surrender. A preacher who handles this psalm as a doctrinal survey will produce accurate doctrine and an inert congregation. The structural spine is the movement from</w:t>
      </w:r>
      <w:r>
        <w:t xml:space="preserve"> </w:t>
      </w:r>
      <w:r>
        <w:t xml:space="preserve">“God knows me”</w:t>
      </w:r>
      <w:r>
        <w:t xml:space="preserve"> </w:t>
      </w:r>
      <w:r>
        <w:t xml:space="preserve">(v. 1) to</w:t>
      </w:r>
      <w:r>
        <w:t xml:space="preserve"> </w:t>
      </w:r>
      <w:r>
        <w:t xml:space="preserve">“search me”</w:t>
      </w:r>
      <w:r>
        <w:t xml:space="preserve"> </w:t>
      </w:r>
      <w:r>
        <w:t xml:space="preserve">(v. 23) — everything in between is the argument that makes the closing invitation both possible and necessary.</w:t>
      </w:r>
    </w:p>
    <w:p>
      <w:pPr>
        <w:numPr>
          <w:ilvl w:val="0"/>
          <w:numId w:val="1002"/>
        </w:numPr>
      </w:pPr>
      <w:r>
        <w:rPr>
          <w:b/>
          <w:bCs/>
        </w:rPr>
        <w:t xml:space="preserve">Skipping or minimizing the imprecatory section (vv. 19–22).</w:t>
      </w:r>
      <w:r>
        <w:t xml:space="preserve"> </w:t>
      </w:r>
      <w:r>
        <w:t xml:space="preserve">This is the most common omission in expositions of Psalm 139, and it is pastorally costly. Verses 19–22 are not a lapse in the psalmist’s spiritual development or an embarrassing remnant of Old Testament harshness. They are the moral consequence of everything that preceded them. A God who is omniscient, omnipresent, and the Creator of all things is a God whose moral authority is absolute — and opposition to Him is the gravest possible posture. Skipping these verses produces a warm but de-clawed psalm. Expositors should handle them with care and canonical awareness (the New Testament does not call for prayer against personal enemies, Matthew 5:44), but they must handle them.</w:t>
      </w:r>
    </w:p>
    <w:p>
      <w:pPr>
        <w:numPr>
          <w:ilvl w:val="0"/>
          <w:numId w:val="1002"/>
        </w:numPr>
      </w:pPr>
      <w:r>
        <w:rPr>
          <w:b/>
          <w:bCs/>
        </w:rPr>
        <w:t xml:space="preserve">Decontextualizing verse 14 (</w:t>
      </w:r>
      <w:r>
        <w:rPr>
          <w:b/>
          <w:bCs/>
        </w:rPr>
        <w:t xml:space="preserve">“fearfully and wonderfully made”</w:t>
      </w:r>
      <w:r>
        <w:rPr>
          <w:b/>
          <w:bCs/>
        </w:rPr>
        <w:t xml:space="preserve">) as a standalone affirmation.</w:t>
      </w:r>
      <w:r>
        <w:t xml:space="preserve"> </w:t>
      </w:r>
      <w:r>
        <w:t xml:space="preserve">Verse 14 is one of the most frequently isolated verses in the Psalter. It is printed on greeting cards, quoted in self-affirmation contexts, and used as a generic encouragement of self-worth. In context, it is a doxological response to a specific theological argument about God’s creative knowledge and care — it is praise directed at God for what He has done, not a self-affirmation directed at the self about what the self is worth. Preaching it in isolation inverts its direction (from Godward praise to self-directed affirmation) and severs it from the argument that gives it weight.</w:t>
      </w:r>
    </w:p>
    <w:p>
      <w:pPr>
        <w:numPr>
          <w:ilvl w:val="0"/>
          <w:numId w:val="1002"/>
        </w:numPr>
      </w:pPr>
      <w:r>
        <w:rPr>
          <w:b/>
          <w:bCs/>
        </w:rPr>
        <w:t xml:space="preserve">Reducing verses 13–16 to a prolife proof-text.</w:t>
      </w:r>
      <w:r>
        <w:t xml:space="preserve"> </w:t>
      </w:r>
      <w:r>
        <w:t xml:space="preserve">The sanctity-of-life application of these verses is legitimate and important — the prenatal formation language is genuinely significant for the ethics of human life. But when this becomes the dominant or sole application of these verses in exposition, it functionally reduces a doxological and theological movement to an ethical argument, and it disconnects the verses from the psalmist’s primary concern: his personal relationship to the God who made him. Preachers may and should note the life ethics implication, but they must not let it consume the passage’s own argument.</w:t>
      </w:r>
    </w:p>
    <w:p>
      <w:pPr>
        <w:numPr>
          <w:ilvl w:val="0"/>
          <w:numId w:val="1002"/>
        </w:numPr>
      </w:pPr>
      <w:r>
        <w:rPr>
          <w:b/>
          <w:bCs/>
        </w:rPr>
        <w:t xml:space="preserve">Preaching the closing invitation (vv. 23–24) without the theology that precedes it.</w:t>
      </w:r>
      <w:r>
        <w:t xml:space="preserve"> </w:t>
      </w:r>
      <w:r>
        <w:t xml:space="preserve">Verses 23–24 are also frequently used as isolated devotional material —</w:t>
      </w:r>
      <w:r>
        <w:t xml:space="preserve"> </w:t>
      </w:r>
      <w:r>
        <w:t xml:space="preserve">“search me, O God”</w:t>
      </w:r>
      <w:r>
        <w:t xml:space="preserve"> </w:t>
      </w:r>
      <w:r>
        <w:t xml:space="preserve">as a generic prayer of humility. Without the weight of what the psalmist has just confessed — that God already knows everything, is already everywhere, and has already written every day — the closing invitation sounds like a polite request for God’s input. In context it is an act of surrender to a God whose comprehensive knowledge and presence have already been established as overwhelming realities. Preachers who close with</w:t>
      </w:r>
      <w:r>
        <w:t xml:space="preserve"> </w:t>
      </w:r>
      <w:r>
        <w:t xml:space="preserve">“let’s all pray Psalm 139:23–24”</w:t>
      </w:r>
      <w:r>
        <w:t xml:space="preserve"> </w:t>
      </w:r>
      <w:r>
        <w:t xml:space="preserve">without the preceding argument produce a pious sentiment, not a biblical response.</w:t>
      </w:r>
    </w:p>
    <w:p>
      <w:pPr>
        <w:numPr>
          <w:ilvl w:val="0"/>
          <w:numId w:val="1002"/>
        </w:numPr>
      </w:pPr>
      <w:r>
        <w:rPr>
          <w:b/>
          <w:bCs/>
        </w:rPr>
        <w:t xml:space="preserve">Producing only comfort without accountability, or only accountability without comfort.</w:t>
      </w:r>
      <w:r>
        <w:t xml:space="preserve"> </w:t>
      </w:r>
      <w:r>
        <w:t xml:space="preserve">The psalm holds both in precise tension. An exposition that lingers in the warm comfort of God’s knowledge and presence without driving toward the accountability of the closing verses — including the moral seriousness of vv. 19–22 — will produce a congregation that feels better about themselves. An exposition that drives hard on accountability and the inescapability of God’s omniscience without the comfort of vv. 5 and 13–18 will produce a congregation that fears God without resting in Him. The Primary Claim holds both: God’s comprehensive knowledge and presence are the ground of</w:t>
      </w:r>
      <w:r>
        <w:t xml:space="preserve"> </w:t>
      </w:r>
      <w:r>
        <w:rPr>
          <w:i/>
          <w:iCs/>
        </w:rPr>
        <w:t xml:space="preserve">both</w:t>
      </w:r>
      <w:r>
        <w:t xml:space="preserve"> </w:t>
      </w:r>
      <w:r>
        <w:t xml:space="preserve">comfort</w:t>
      </w:r>
      <w:r>
        <w:t xml:space="preserve"> </w:t>
      </w:r>
      <w:r>
        <w:rPr>
          <w:i/>
          <w:iCs/>
        </w:rPr>
        <w:t xml:space="preserve">and</w:t>
      </w:r>
      <w:r>
        <w:t xml:space="preserve"> </w:t>
      </w:r>
      <w:r>
        <w:t xml:space="preserve">accountability, and neither can be severed from the other without losing the psalm.</w:t>
      </w:r>
    </w:p>
    <w:p>
      <w:r>
        <w:pict>
          <v:rect style="width:0;height:1.5pt" o:hralign="center" o:hrstd="t" o:hr="t"/>
        </w:pict>
      </w:r>
    </w:p>
    <w:p>
      <w:pPr>
        <w:pStyle w:val="FirstParagraph"/>
      </w:pPr>
      <w:r>
        <w:rPr>
          <w:i/>
          <w:iCs/>
        </w:rPr>
        <w:t xml:space="preserve">Document: 19 Psalms 139.docx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2026-07-14T21:04:29Z</dcterms:created>
  <dcterms:modified xsi:type="dcterms:W3CDTF">2026-07-14T21:04:29Z</dcterms:modified>
</cp:coreProperties>
</file>

<file path=docProps/custom.xml><?xml version="1.0" encoding="utf-8"?>
<Properties xmlns="http://schemas.openxmlformats.org/officeDocument/2006/custom-properties" xmlns:vt="http://schemas.openxmlformats.org/officeDocument/2006/docPropsVTypes"/>
</file>